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37" w:rsidRDefault="00574937" w:rsidP="00621C4D">
      <w:pPr>
        <w:spacing w:after="0"/>
        <w:rPr>
          <w:rFonts w:ascii="Book Antiqua" w:hAnsi="Book Antiqua"/>
          <w:b/>
          <w:color w:val="E36C0A" w:themeColor="accent6" w:themeShade="BF"/>
          <w:sz w:val="56"/>
          <w:szCs w:val="56"/>
        </w:rPr>
      </w:pPr>
      <w:r>
        <w:rPr>
          <w:rFonts w:ascii="Book Antiqua" w:hAnsi="Book Antiqua"/>
          <w:b/>
          <w:noProof/>
          <w:color w:val="E36C0A" w:themeColor="accent6" w:themeShade="BF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0</wp:posOffset>
            </wp:positionV>
            <wp:extent cx="2628900" cy="2366010"/>
            <wp:effectExtent l="0" t="0" r="0" b="0"/>
            <wp:wrapTight wrapText="bothSides">
              <wp:wrapPolygon edited="0">
                <wp:start x="0" y="0"/>
                <wp:lineTo x="0" y="21391"/>
                <wp:lineTo x="21443" y="21391"/>
                <wp:lineTo x="21443" y="0"/>
                <wp:lineTo x="0" y="0"/>
              </wp:wrapPolygon>
            </wp:wrapTight>
            <wp:docPr id="5" name="Picture 5" descr="C:\Users\sandyw.WILSON\AppData\Local\Microsoft\Windows\Temporary Internet Files\Content.IE5\8L7PV87Q\La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yw.WILSON\AppData\Local\Microsoft\Windows\Temporary Internet Files\Content.IE5\8L7PV87Q\La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7DC">
        <w:rPr>
          <w:rFonts w:ascii="Book Antiqua" w:hAnsi="Book Antiqua"/>
          <w:b/>
          <w:color w:val="E36C0A" w:themeColor="accent6" w:themeShade="BF"/>
          <w:sz w:val="56"/>
          <w:szCs w:val="56"/>
        </w:rPr>
        <w:t xml:space="preserve"> </w:t>
      </w:r>
    </w:p>
    <w:p w:rsidR="00EB13D6" w:rsidRPr="00574937" w:rsidRDefault="004877DC" w:rsidP="00574937">
      <w:pPr>
        <w:spacing w:after="0"/>
        <w:jc w:val="center"/>
        <w:rPr>
          <w:rFonts w:ascii="Book Antiqua" w:hAnsi="Book Antiqua"/>
          <w:b/>
          <w:color w:val="984806" w:themeColor="accent6" w:themeShade="80"/>
          <w:sz w:val="56"/>
          <w:szCs w:val="56"/>
        </w:rPr>
      </w:pPr>
      <w:r w:rsidRPr="00574937">
        <w:rPr>
          <w:rFonts w:ascii="Book Antiqua" w:hAnsi="Book Antiqua"/>
          <w:b/>
          <w:color w:val="984806" w:themeColor="accent6" w:themeShade="80"/>
          <w:sz w:val="56"/>
          <w:szCs w:val="56"/>
        </w:rPr>
        <w:t>Business</w:t>
      </w:r>
    </w:p>
    <w:p w:rsidR="00EB13D6" w:rsidRPr="00574937" w:rsidRDefault="00084CED" w:rsidP="00574937">
      <w:pPr>
        <w:spacing w:after="0"/>
        <w:jc w:val="center"/>
        <w:rPr>
          <w:rFonts w:ascii="Book Antiqua" w:hAnsi="Book Antiqua"/>
          <w:b/>
          <w:color w:val="984806" w:themeColor="accent6" w:themeShade="80"/>
          <w:sz w:val="56"/>
          <w:szCs w:val="56"/>
        </w:rPr>
      </w:pPr>
      <w:r w:rsidRPr="00574937">
        <w:rPr>
          <w:rFonts w:ascii="Book Antiqua" w:hAnsi="Book Antiqua"/>
          <w:b/>
          <w:color w:val="984806" w:themeColor="accent6" w:themeShade="80"/>
          <w:sz w:val="56"/>
          <w:szCs w:val="56"/>
        </w:rPr>
        <w:t>Tax Law C</w:t>
      </w:r>
      <w:r w:rsidR="00EB13D6" w:rsidRPr="00574937">
        <w:rPr>
          <w:rFonts w:ascii="Book Antiqua" w:hAnsi="Book Antiqua"/>
          <w:b/>
          <w:color w:val="984806" w:themeColor="accent6" w:themeShade="80"/>
          <w:sz w:val="56"/>
          <w:szCs w:val="56"/>
        </w:rPr>
        <w:t>hanges</w:t>
      </w:r>
    </w:p>
    <w:p w:rsidR="00EB13D6" w:rsidRPr="00574937" w:rsidRDefault="00084CED" w:rsidP="00574937">
      <w:pPr>
        <w:spacing w:after="0"/>
        <w:jc w:val="center"/>
        <w:rPr>
          <w:rFonts w:ascii="Book Antiqua" w:hAnsi="Book Antiqua"/>
          <w:b/>
          <w:color w:val="984806" w:themeColor="accent6" w:themeShade="80"/>
          <w:sz w:val="56"/>
          <w:szCs w:val="56"/>
        </w:rPr>
      </w:pPr>
      <w:r w:rsidRPr="00574937">
        <w:rPr>
          <w:rFonts w:ascii="Book Antiqua" w:hAnsi="Book Antiqua"/>
          <w:b/>
          <w:color w:val="984806" w:themeColor="accent6" w:themeShade="80"/>
          <w:sz w:val="56"/>
          <w:szCs w:val="56"/>
        </w:rPr>
        <w:t>F</w:t>
      </w:r>
      <w:r w:rsidR="00EB13D6" w:rsidRPr="00574937">
        <w:rPr>
          <w:rFonts w:ascii="Book Antiqua" w:hAnsi="Book Antiqua"/>
          <w:b/>
          <w:color w:val="984806" w:themeColor="accent6" w:themeShade="80"/>
          <w:sz w:val="56"/>
          <w:szCs w:val="56"/>
        </w:rPr>
        <w:t>or 201</w:t>
      </w:r>
      <w:r w:rsidR="00BE237F" w:rsidRPr="00574937">
        <w:rPr>
          <w:rFonts w:ascii="Book Antiqua" w:hAnsi="Book Antiqua"/>
          <w:b/>
          <w:color w:val="984806" w:themeColor="accent6" w:themeShade="80"/>
          <w:sz w:val="56"/>
          <w:szCs w:val="56"/>
        </w:rPr>
        <w:t>4</w:t>
      </w:r>
    </w:p>
    <w:p w:rsidR="00EB13D6" w:rsidRPr="00574937" w:rsidRDefault="00EB13D6" w:rsidP="00EB13D6">
      <w:pPr>
        <w:spacing w:after="0"/>
        <w:rPr>
          <w:rFonts w:ascii="Book Antiqua" w:hAnsi="Book Antiqua"/>
          <w:color w:val="948A54" w:themeColor="background2" w:themeShade="80"/>
          <w:u w:val="single"/>
        </w:rPr>
      </w:pPr>
    </w:p>
    <w:p w:rsidR="004877DC" w:rsidRPr="00574937" w:rsidRDefault="004877DC" w:rsidP="00EB13D6">
      <w:pPr>
        <w:spacing w:after="0"/>
        <w:jc w:val="both"/>
        <w:rPr>
          <w:rFonts w:ascii="Book Antiqua" w:hAnsi="Book Antiqua"/>
          <w:b/>
          <w:color w:val="948A54" w:themeColor="background2" w:themeShade="80"/>
          <w:sz w:val="28"/>
          <w:szCs w:val="28"/>
        </w:rPr>
      </w:pPr>
    </w:p>
    <w:p w:rsidR="00574937" w:rsidRDefault="00574937" w:rsidP="00EB13D6">
      <w:pPr>
        <w:spacing w:after="0"/>
        <w:jc w:val="both"/>
        <w:rPr>
          <w:rFonts w:ascii="Book Antiqua" w:hAnsi="Book Antiqua"/>
          <w:b/>
          <w:color w:val="948A54" w:themeColor="background2" w:themeShade="80"/>
          <w:sz w:val="28"/>
          <w:szCs w:val="28"/>
        </w:rPr>
      </w:pPr>
    </w:p>
    <w:p w:rsidR="00BE237F" w:rsidRPr="00574937" w:rsidRDefault="00BE237F" w:rsidP="00EB13D6">
      <w:pPr>
        <w:spacing w:after="0"/>
        <w:jc w:val="both"/>
        <w:rPr>
          <w:rFonts w:ascii="Book Antiqua" w:hAnsi="Book Antiqua"/>
          <w:b/>
          <w:color w:val="984806" w:themeColor="accent6" w:themeShade="80"/>
          <w:sz w:val="28"/>
          <w:szCs w:val="28"/>
        </w:rPr>
      </w:pPr>
      <w:r w:rsidRPr="00574937">
        <w:rPr>
          <w:rFonts w:ascii="Book Antiqua" w:hAnsi="Book Antiqua"/>
          <w:b/>
          <w:color w:val="984806" w:themeColor="accent6" w:themeShade="80"/>
          <w:sz w:val="28"/>
          <w:szCs w:val="28"/>
        </w:rPr>
        <w:t>Tax Extenders</w:t>
      </w:r>
    </w:p>
    <w:p w:rsidR="00BE237F" w:rsidRPr="00E61ECF" w:rsidRDefault="00BE237F" w:rsidP="00C352DB">
      <w:pPr>
        <w:pStyle w:val="ListParagraph"/>
        <w:numPr>
          <w:ilvl w:val="0"/>
          <w:numId w:val="20"/>
        </w:numPr>
        <w:spacing w:after="0"/>
        <w:ind w:left="720" w:hanging="63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The Tax Increase Prevention Act of 2014 was signed into law by Congress in December.</w:t>
      </w:r>
    </w:p>
    <w:p w:rsidR="00621C4D" w:rsidRPr="00E61ECF" w:rsidRDefault="00E61ECF" w:rsidP="00C352DB">
      <w:pPr>
        <w:pStyle w:val="ListParagraph"/>
        <w:numPr>
          <w:ilvl w:val="0"/>
          <w:numId w:val="20"/>
        </w:numPr>
        <w:spacing w:after="0"/>
        <w:ind w:left="720" w:hanging="63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It provides a one-</w:t>
      </w:r>
      <w:r w:rsidR="00BE237F" w:rsidRPr="00E61ECF">
        <w:rPr>
          <w:rFonts w:ascii="Book Antiqua" w:hAnsi="Book Antiqua"/>
        </w:rPr>
        <w:t xml:space="preserve">year </w:t>
      </w:r>
      <w:r w:rsidR="00621C4D" w:rsidRPr="00E61ECF">
        <w:rPr>
          <w:rFonts w:ascii="Book Antiqua" w:hAnsi="Book Antiqua"/>
        </w:rPr>
        <w:t>(2014)</w:t>
      </w:r>
      <w:r w:rsidR="00BE237F" w:rsidRPr="00E61ECF">
        <w:rPr>
          <w:rFonts w:ascii="Book Antiqua" w:hAnsi="Book Antiqua"/>
        </w:rPr>
        <w:t>extension of certain tax benefits</w:t>
      </w:r>
      <w:r w:rsidR="00621C4D" w:rsidRPr="00E61ECF">
        <w:rPr>
          <w:rFonts w:ascii="Book Antiqua" w:hAnsi="Book Antiqua"/>
        </w:rPr>
        <w:t xml:space="preserve"> including:</w:t>
      </w:r>
    </w:p>
    <w:p w:rsidR="00621C4D" w:rsidRPr="004877DC" w:rsidRDefault="004877DC" w:rsidP="004877DC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50% bonus depreciation for qualified purchases </w:t>
      </w:r>
    </w:p>
    <w:p w:rsidR="00162332" w:rsidRPr="00162332" w:rsidRDefault="004877DC" w:rsidP="00162332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Election to accelerate AMT credit in lieu of bonus depreciation</w:t>
      </w:r>
    </w:p>
    <w:p w:rsidR="00162332" w:rsidRPr="00162332" w:rsidRDefault="00162332" w:rsidP="00162332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 w:rsidRPr="00162332">
        <w:rPr>
          <w:rFonts w:ascii="Book Antiqua" w:hAnsi="Book Antiqua"/>
        </w:rPr>
        <w:t xml:space="preserve">The section 179 expensing rule (a deduction) for purchasing and putting into use business property, is up to a maximum of $500,000 for 2014.  </w:t>
      </w:r>
    </w:p>
    <w:p w:rsidR="004877DC" w:rsidRPr="004877DC" w:rsidRDefault="004877DC" w:rsidP="004877DC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100% gain exclusion for qualified small business stock</w:t>
      </w:r>
    </w:p>
    <w:p w:rsidR="004877DC" w:rsidRPr="004877DC" w:rsidRDefault="004877DC" w:rsidP="004877DC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Basis adjustment to S corporation stock for charitable contributions </w:t>
      </w:r>
    </w:p>
    <w:p w:rsidR="004877DC" w:rsidRPr="004877DC" w:rsidRDefault="004877DC" w:rsidP="004877DC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Reduced built in gains recognition period for S corporations</w:t>
      </w:r>
    </w:p>
    <w:p w:rsidR="004877DC" w:rsidRPr="004877DC" w:rsidRDefault="004877DC" w:rsidP="004877DC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15 year recovery period for qualified restaurant property and qualified retail improvements</w:t>
      </w:r>
    </w:p>
    <w:p w:rsidR="004877DC" w:rsidRPr="004877DC" w:rsidRDefault="004877DC" w:rsidP="004877DC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Enhanced charitable deductions for food inventory</w:t>
      </w:r>
    </w:p>
    <w:p w:rsidR="004877DC" w:rsidRPr="00EF4AAD" w:rsidRDefault="00EF4AAD" w:rsidP="004877DC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R &amp; D credit</w:t>
      </w:r>
    </w:p>
    <w:p w:rsidR="00EB13D6" w:rsidRPr="00574937" w:rsidRDefault="00810946" w:rsidP="00EB13D6">
      <w:pPr>
        <w:spacing w:after="0"/>
        <w:jc w:val="both"/>
        <w:rPr>
          <w:rFonts w:ascii="Book Antiqua" w:hAnsi="Book Antiqua"/>
          <w:b/>
          <w:color w:val="984806" w:themeColor="accent6" w:themeShade="80"/>
          <w:sz w:val="28"/>
          <w:szCs w:val="28"/>
        </w:rPr>
      </w:pPr>
      <w:r w:rsidRPr="00574937">
        <w:rPr>
          <w:rFonts w:ascii="Book Antiqua" w:hAnsi="Book Antiqua"/>
          <w:b/>
          <w:color w:val="984806" w:themeColor="accent6" w:themeShade="80"/>
          <w:sz w:val="28"/>
          <w:szCs w:val="28"/>
        </w:rPr>
        <w:t>Affordable Care Act</w:t>
      </w:r>
    </w:p>
    <w:p w:rsidR="00AA08FD" w:rsidRDefault="00AA08FD" w:rsidP="00AA08FD">
      <w:pPr>
        <w:pStyle w:val="ListParagraph"/>
        <w:numPr>
          <w:ilvl w:val="0"/>
          <w:numId w:val="26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It will be mandatory in 2014 all individuals and their dependents</w:t>
      </w:r>
      <w:r w:rsidR="009F02C6">
        <w:rPr>
          <w:rFonts w:ascii="Book Antiqua" w:hAnsi="Book Antiqua"/>
        </w:rPr>
        <w:t xml:space="preserve"> to</w:t>
      </w:r>
      <w:r>
        <w:rPr>
          <w:rFonts w:ascii="Book Antiqua" w:hAnsi="Book Antiqua"/>
        </w:rPr>
        <w:t xml:space="preserve"> have qualifying ins</w:t>
      </w:r>
      <w:r w:rsidR="009F02C6">
        <w:rPr>
          <w:rFonts w:ascii="Book Antiqua" w:hAnsi="Book Antiqua"/>
        </w:rPr>
        <w:t>urance coverage to avoid a penalty tax</w:t>
      </w:r>
      <w:r>
        <w:rPr>
          <w:rFonts w:ascii="Book Antiqua" w:hAnsi="Book Antiqua"/>
        </w:rPr>
        <w:t xml:space="preserve">.  </w:t>
      </w:r>
      <w:r w:rsidRPr="00EB5AB0">
        <w:rPr>
          <w:rFonts w:ascii="Book Antiqua" w:hAnsi="Book Antiqua"/>
        </w:rPr>
        <w:t>Individuals for whom coverage is to expensive are exempt from the tax.</w:t>
      </w:r>
    </w:p>
    <w:p w:rsidR="00AA08FD" w:rsidRDefault="00AA08FD" w:rsidP="00AA08FD">
      <w:pPr>
        <w:pStyle w:val="ListParagraph"/>
        <w:numPr>
          <w:ilvl w:val="0"/>
          <w:numId w:val="26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Certain individuals will be eligible for tax credits and cost sharing subsidies.</w:t>
      </w:r>
    </w:p>
    <w:p w:rsidR="00AA08FD" w:rsidRDefault="00041C91" w:rsidP="00AA08FD">
      <w:pPr>
        <w:pStyle w:val="ListParagraph"/>
        <w:numPr>
          <w:ilvl w:val="0"/>
          <w:numId w:val="26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It will be mandatory b</w:t>
      </w:r>
      <w:r w:rsidR="00AA08FD">
        <w:rPr>
          <w:rFonts w:ascii="Book Antiqua" w:hAnsi="Book Antiqua"/>
        </w:rPr>
        <w:t>eginning in 2015</w:t>
      </w:r>
      <w:r>
        <w:rPr>
          <w:rFonts w:ascii="Book Antiqua" w:hAnsi="Book Antiqua"/>
        </w:rPr>
        <w:t xml:space="preserve"> for</w:t>
      </w:r>
      <w:r w:rsidR="00AA08FD">
        <w:rPr>
          <w:rFonts w:ascii="Book Antiqua" w:hAnsi="Book Antiqua"/>
        </w:rPr>
        <w:t xml:space="preserve"> large employers</w:t>
      </w:r>
      <w:r>
        <w:rPr>
          <w:rFonts w:ascii="Book Antiqua" w:hAnsi="Book Antiqua"/>
        </w:rPr>
        <w:t xml:space="preserve"> t</w:t>
      </w:r>
      <w:r w:rsidR="00AA08FD">
        <w:rPr>
          <w:rFonts w:ascii="Book Antiqua" w:hAnsi="Book Antiqua"/>
        </w:rPr>
        <w:t>o provide insurance</w:t>
      </w:r>
      <w:r>
        <w:rPr>
          <w:rFonts w:ascii="Book Antiqua" w:hAnsi="Book Antiqua"/>
        </w:rPr>
        <w:t xml:space="preserve"> coverage for employees.</w:t>
      </w:r>
      <w:r w:rsidR="00AA08FD">
        <w:rPr>
          <w:rFonts w:ascii="Book Antiqua" w:hAnsi="Book Antiqua"/>
        </w:rPr>
        <w:t xml:space="preserve"> </w:t>
      </w:r>
    </w:p>
    <w:p w:rsidR="00041C91" w:rsidRDefault="00041C91" w:rsidP="00041C91">
      <w:pPr>
        <w:pStyle w:val="ListParagraph"/>
        <w:numPr>
          <w:ilvl w:val="1"/>
          <w:numId w:val="26"/>
        </w:numPr>
        <w:spacing w:after="0"/>
        <w:jc w:val="both"/>
        <w:rPr>
          <w:rFonts w:ascii="Book Antiqua" w:hAnsi="Book Antiqua"/>
        </w:rPr>
      </w:pPr>
      <w:r w:rsidRPr="00AA08FD">
        <w:rPr>
          <w:rFonts w:ascii="Book Antiqua" w:hAnsi="Book Antiqua"/>
        </w:rPr>
        <w:t xml:space="preserve">For </w:t>
      </w:r>
      <w:r>
        <w:rPr>
          <w:rFonts w:ascii="Book Antiqua" w:hAnsi="Book Antiqua"/>
        </w:rPr>
        <w:t xml:space="preserve">2015, employers with 100 or more full-time employees, </w:t>
      </w:r>
      <w:r w:rsidRPr="00AA08FD">
        <w:rPr>
          <w:rFonts w:ascii="Book Antiqua" w:hAnsi="Book Antiqua"/>
        </w:rPr>
        <w:t>including full-time equivalent employees</w:t>
      </w:r>
      <w:r>
        <w:rPr>
          <w:rFonts w:ascii="Book Antiqua" w:hAnsi="Book Antiqua"/>
        </w:rPr>
        <w:t xml:space="preserve"> are subject to providing affordable insurance to employees or pay a fine.  </w:t>
      </w:r>
    </w:p>
    <w:p w:rsidR="00A22AE1" w:rsidRPr="00041C91" w:rsidRDefault="00AA08FD" w:rsidP="00041C91">
      <w:pPr>
        <w:pStyle w:val="ListParagraph"/>
        <w:numPr>
          <w:ilvl w:val="1"/>
          <w:numId w:val="26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Delayed to 2016 is the requirement that employers with 50</w:t>
      </w:r>
      <w:r w:rsidR="00041C91">
        <w:rPr>
          <w:rFonts w:ascii="Book Antiqua" w:hAnsi="Book Antiqua"/>
        </w:rPr>
        <w:t>-99</w:t>
      </w:r>
      <w:r>
        <w:rPr>
          <w:rFonts w:ascii="Book Antiqua" w:hAnsi="Book Antiqua"/>
        </w:rPr>
        <w:t xml:space="preserve"> full time workers provide employees with affordable health coverage or pay a fine.</w:t>
      </w:r>
    </w:p>
    <w:p w:rsidR="00477423" w:rsidRDefault="00477423">
      <w:pPr>
        <w:rPr>
          <w:rFonts w:ascii="Book Antiqua" w:hAnsi="Book Antiqua"/>
          <w:b/>
          <w:color w:val="984806" w:themeColor="accent6" w:themeShade="80"/>
          <w:sz w:val="28"/>
          <w:szCs w:val="28"/>
        </w:rPr>
      </w:pPr>
      <w:r>
        <w:rPr>
          <w:rFonts w:ascii="Book Antiqua" w:hAnsi="Book Antiqua"/>
          <w:b/>
          <w:color w:val="984806" w:themeColor="accent6" w:themeShade="80"/>
          <w:sz w:val="28"/>
          <w:szCs w:val="28"/>
        </w:rPr>
        <w:br w:type="page"/>
      </w:r>
    </w:p>
    <w:p w:rsidR="00F52118" w:rsidRPr="00574937" w:rsidRDefault="00F07921" w:rsidP="00F52118">
      <w:pPr>
        <w:spacing w:after="0"/>
        <w:jc w:val="both"/>
        <w:rPr>
          <w:rFonts w:ascii="Book Antiqua" w:hAnsi="Book Antiqua"/>
          <w:b/>
          <w:color w:val="984806" w:themeColor="accent6" w:themeShade="80"/>
          <w:sz w:val="28"/>
          <w:szCs w:val="28"/>
        </w:rPr>
      </w:pPr>
      <w:r w:rsidRPr="00574937">
        <w:rPr>
          <w:rFonts w:ascii="Book Antiqua" w:hAnsi="Book Antiqua"/>
          <w:b/>
          <w:color w:val="984806" w:themeColor="accent6" w:themeShade="80"/>
          <w:sz w:val="28"/>
          <w:szCs w:val="28"/>
        </w:rPr>
        <w:lastRenderedPageBreak/>
        <w:t>Standard Mileage Rates</w:t>
      </w:r>
    </w:p>
    <w:p w:rsidR="00F07921" w:rsidRDefault="00F07921" w:rsidP="00F52118">
      <w:pPr>
        <w:pStyle w:val="ListParagraph"/>
        <w:numPr>
          <w:ilvl w:val="0"/>
          <w:numId w:val="23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optional business standard mileage rate for 2015 is 57.5 cents per mile.  This reflects an increase from the 2014 rate of 56 cents per mile</w:t>
      </w:r>
    </w:p>
    <w:p w:rsidR="00EB13D6" w:rsidRDefault="00F07921" w:rsidP="00F52118">
      <w:pPr>
        <w:pStyle w:val="ListParagraph"/>
        <w:numPr>
          <w:ilvl w:val="0"/>
          <w:numId w:val="23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For 2015 the depreciation component of the business standard mileage rate is 24 cents per mile.  This represents a two cent increase from the 2014 depreciation com</w:t>
      </w:r>
      <w:r w:rsidR="00EF4AAD">
        <w:rPr>
          <w:rFonts w:ascii="Book Antiqua" w:hAnsi="Book Antiqua"/>
        </w:rPr>
        <w:t>p</w:t>
      </w:r>
      <w:r>
        <w:rPr>
          <w:rFonts w:ascii="Book Antiqua" w:hAnsi="Book Antiqua"/>
        </w:rPr>
        <w:t>onent</w:t>
      </w:r>
      <w:r w:rsidR="00EB13D6">
        <w:rPr>
          <w:rFonts w:ascii="Book Antiqua" w:hAnsi="Book Antiqua"/>
        </w:rPr>
        <w:t>.</w:t>
      </w:r>
    </w:p>
    <w:p w:rsidR="00EB13D6" w:rsidRPr="00574937" w:rsidRDefault="00F07921" w:rsidP="00EB13D6">
      <w:pPr>
        <w:spacing w:after="0"/>
        <w:jc w:val="both"/>
        <w:rPr>
          <w:rFonts w:ascii="Book Antiqua" w:hAnsi="Book Antiqua"/>
          <w:b/>
          <w:color w:val="984806" w:themeColor="accent6" w:themeShade="80"/>
          <w:sz w:val="28"/>
          <w:szCs w:val="28"/>
        </w:rPr>
      </w:pPr>
      <w:r w:rsidRPr="00574937">
        <w:rPr>
          <w:rFonts w:ascii="Book Antiqua" w:hAnsi="Book Antiqua"/>
          <w:b/>
          <w:color w:val="984806" w:themeColor="accent6" w:themeShade="80"/>
          <w:sz w:val="28"/>
          <w:szCs w:val="28"/>
        </w:rPr>
        <w:t>Vehicle Depreciation Dollar Limits</w:t>
      </w:r>
    </w:p>
    <w:p w:rsidR="00EB13D6" w:rsidRDefault="00F07921" w:rsidP="00F52118">
      <w:pPr>
        <w:pStyle w:val="ListParagraph"/>
        <w:numPr>
          <w:ilvl w:val="0"/>
          <w:numId w:val="24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Business use passenger automobiles, light trucks and vans placed in service during calendar year 2014 are $11,160 for the first tax year, $5,100 for the second tax year, $3,050 for the third tax year, and $1,875 for each succeeding tax year.</w:t>
      </w:r>
    </w:p>
    <w:p w:rsidR="00EB13D6" w:rsidRPr="00574937" w:rsidRDefault="00F07921" w:rsidP="00EB13D6">
      <w:pPr>
        <w:spacing w:after="0"/>
        <w:jc w:val="both"/>
        <w:rPr>
          <w:rFonts w:ascii="Book Antiqua" w:hAnsi="Book Antiqua"/>
          <w:b/>
          <w:color w:val="984806" w:themeColor="accent6" w:themeShade="80"/>
          <w:sz w:val="28"/>
          <w:szCs w:val="28"/>
        </w:rPr>
      </w:pPr>
      <w:r w:rsidRPr="00574937">
        <w:rPr>
          <w:rFonts w:ascii="Book Antiqua" w:hAnsi="Book Antiqua"/>
          <w:b/>
          <w:color w:val="984806" w:themeColor="accent6" w:themeShade="80"/>
          <w:sz w:val="28"/>
          <w:szCs w:val="28"/>
        </w:rPr>
        <w:t>Per Diem Rates</w:t>
      </w:r>
    </w:p>
    <w:p w:rsidR="00F07921" w:rsidRDefault="00F07921" w:rsidP="00F52118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</w:rPr>
      </w:pPr>
      <w:r w:rsidRPr="00F0792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IRS announced the simplified per diem rates that taxpayers can use to reimburse employees for expenses incurred during travel after 9-30-14.  </w:t>
      </w:r>
    </w:p>
    <w:p w:rsidR="00F07921" w:rsidRPr="00772927" w:rsidRDefault="00F07921" w:rsidP="00F52118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</w:rPr>
      </w:pPr>
      <w:r w:rsidRPr="00772927">
        <w:rPr>
          <w:rFonts w:ascii="Book Antiqua" w:hAnsi="Book Antiqua"/>
        </w:rPr>
        <w:t xml:space="preserve">High-cost area per </w:t>
      </w:r>
      <w:proofErr w:type="gramStart"/>
      <w:r w:rsidRPr="00772927">
        <w:rPr>
          <w:rFonts w:ascii="Book Antiqua" w:hAnsi="Book Antiqua"/>
        </w:rPr>
        <w:t>diem</w:t>
      </w:r>
      <w:proofErr w:type="gramEnd"/>
      <w:r w:rsidRPr="00772927">
        <w:rPr>
          <w:rFonts w:ascii="Book Antiqua" w:hAnsi="Book Antiqua"/>
        </w:rPr>
        <w:t xml:space="preserve"> increases to $259 ($194 for lodging and $65 for meals and incidental expenses)</w:t>
      </w:r>
      <w:r w:rsidR="00772927" w:rsidRPr="00772927">
        <w:rPr>
          <w:rFonts w:ascii="Book Antiqua" w:hAnsi="Book Antiqua"/>
        </w:rPr>
        <w:t>.</w:t>
      </w:r>
      <w:r w:rsidR="00772927">
        <w:rPr>
          <w:rFonts w:ascii="Book Antiqua" w:hAnsi="Book Antiqua"/>
        </w:rPr>
        <w:t xml:space="preserve">  </w:t>
      </w:r>
      <w:r w:rsidRPr="00772927">
        <w:rPr>
          <w:rFonts w:ascii="Book Antiqua" w:hAnsi="Book Antiqua"/>
        </w:rPr>
        <w:t xml:space="preserve">Low-cost area per </w:t>
      </w:r>
      <w:proofErr w:type="gramStart"/>
      <w:r w:rsidRPr="00772927">
        <w:rPr>
          <w:rFonts w:ascii="Book Antiqua" w:hAnsi="Book Antiqua"/>
        </w:rPr>
        <w:t>diem</w:t>
      </w:r>
      <w:proofErr w:type="gramEnd"/>
      <w:r w:rsidRPr="00772927">
        <w:rPr>
          <w:rFonts w:ascii="Book Antiqua" w:hAnsi="Book Antiqua"/>
        </w:rPr>
        <w:t xml:space="preserve"> increases to $172 ($120 for lodging and $52 for meals and incidental expenses)</w:t>
      </w:r>
      <w:r w:rsidR="00EF4AAD" w:rsidRPr="00772927">
        <w:rPr>
          <w:rFonts w:ascii="Book Antiqua" w:hAnsi="Book Antiqua"/>
        </w:rPr>
        <w:t>.</w:t>
      </w:r>
    </w:p>
    <w:p w:rsidR="00EF4AAD" w:rsidRPr="00574937" w:rsidRDefault="00EF4AAD" w:rsidP="00EF4AAD">
      <w:pPr>
        <w:spacing w:after="0"/>
        <w:jc w:val="both"/>
        <w:rPr>
          <w:rFonts w:ascii="Book Antiqua" w:hAnsi="Book Antiqua"/>
          <w:b/>
          <w:color w:val="984806" w:themeColor="accent6" w:themeShade="80"/>
          <w:sz w:val="28"/>
          <w:szCs w:val="28"/>
        </w:rPr>
      </w:pPr>
      <w:r w:rsidRPr="00574937">
        <w:rPr>
          <w:rFonts w:ascii="Book Antiqua" w:hAnsi="Book Antiqua"/>
          <w:b/>
          <w:color w:val="984806" w:themeColor="accent6" w:themeShade="80"/>
          <w:sz w:val="28"/>
          <w:szCs w:val="28"/>
        </w:rPr>
        <w:t>Repair Regulations</w:t>
      </w:r>
    </w:p>
    <w:p w:rsidR="00EF4AAD" w:rsidRDefault="00EF4AAD" w:rsidP="00EF4AAD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IRS issued final “repair” regulations on accounting for costs to acquire, re</w:t>
      </w:r>
      <w:r w:rsidR="00477423">
        <w:rPr>
          <w:rFonts w:ascii="Book Antiqua" w:hAnsi="Book Antiqua"/>
        </w:rPr>
        <w:t>pair and improve tangib</w:t>
      </w:r>
      <w:r>
        <w:rPr>
          <w:rFonts w:ascii="Book Antiqua" w:hAnsi="Book Antiqua"/>
        </w:rPr>
        <w:t>le prop</w:t>
      </w:r>
      <w:r w:rsidR="00477423">
        <w:rPr>
          <w:rFonts w:ascii="Book Antiqua" w:hAnsi="Book Antiqua"/>
        </w:rPr>
        <w:t>er</w:t>
      </w:r>
      <w:r>
        <w:rPr>
          <w:rFonts w:ascii="Book Antiqua" w:hAnsi="Book Antiqua"/>
        </w:rPr>
        <w:t>ty</w:t>
      </w:r>
      <w:r w:rsidR="00600DB2">
        <w:rPr>
          <w:rFonts w:ascii="Book Antiqua" w:hAnsi="Book Antiqua"/>
        </w:rPr>
        <w:t>.</w:t>
      </w:r>
    </w:p>
    <w:p w:rsidR="00321C2A" w:rsidRDefault="00321C2A" w:rsidP="00F52118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old rule of “betterment” where if you increased the value or extended the life</w:t>
      </w:r>
      <w:r w:rsidR="00772927">
        <w:rPr>
          <w:rFonts w:ascii="Book Antiqua" w:hAnsi="Book Antiqua"/>
        </w:rPr>
        <w:t>,</w:t>
      </w:r>
      <w:r w:rsidR="00600DB2">
        <w:rPr>
          <w:rFonts w:ascii="Book Antiqua" w:hAnsi="Book Antiqua"/>
        </w:rPr>
        <w:t xml:space="preserve"> repairs were expensed has been modified.  Now they must</w:t>
      </w:r>
      <w:r>
        <w:rPr>
          <w:rFonts w:ascii="Book Antiqua" w:hAnsi="Book Antiqua"/>
        </w:rPr>
        <w:t xml:space="preserve"> </w:t>
      </w:r>
      <w:r w:rsidR="00600DB2">
        <w:rPr>
          <w:rFonts w:ascii="Book Antiqua" w:hAnsi="Book Antiqua"/>
        </w:rPr>
        <w:t>be capitalized</w:t>
      </w:r>
      <w:r>
        <w:rPr>
          <w:rFonts w:ascii="Book Antiqua" w:hAnsi="Book Antiqua"/>
        </w:rPr>
        <w:t>.</w:t>
      </w:r>
    </w:p>
    <w:p w:rsidR="00FF69C2" w:rsidRDefault="00FF69C2" w:rsidP="00FF69C2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There is a new definition of a ‘unit of property’</w:t>
      </w:r>
      <w:r w:rsidR="00600DB2">
        <w:rPr>
          <w:rFonts w:ascii="Book Antiqua" w:hAnsi="Book Antiqua"/>
        </w:rPr>
        <w:t xml:space="preserve">.  </w:t>
      </w:r>
      <w:r w:rsidR="00772927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arts that are necessary to make other parts function is </w:t>
      </w:r>
      <w:r w:rsidR="00600DB2">
        <w:rPr>
          <w:rFonts w:ascii="Book Antiqua" w:hAnsi="Book Antiqua"/>
        </w:rPr>
        <w:t>considered one ‘unit of property’.  F</w:t>
      </w:r>
      <w:r>
        <w:rPr>
          <w:rFonts w:ascii="Book Antiqua" w:hAnsi="Book Antiqua"/>
        </w:rPr>
        <w:t xml:space="preserve">or example a computer, the monitor, keyboard and mouse are </w:t>
      </w:r>
      <w:r w:rsidR="00600DB2">
        <w:rPr>
          <w:rFonts w:ascii="Book Antiqua" w:hAnsi="Book Antiqua"/>
        </w:rPr>
        <w:t>considered a ‘unit of property’,</w:t>
      </w:r>
      <w:r>
        <w:rPr>
          <w:rFonts w:ascii="Book Antiqua" w:hAnsi="Book Antiqua"/>
        </w:rPr>
        <w:t xml:space="preserve"> but the printer/scanner is not.  This applies to all tangible property except buildings.</w:t>
      </w:r>
    </w:p>
    <w:p w:rsidR="00EF4AAD" w:rsidRDefault="00FF69C2" w:rsidP="00F52118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321C2A">
        <w:rPr>
          <w:rFonts w:ascii="Book Antiqua" w:hAnsi="Book Antiqua"/>
        </w:rPr>
        <w:t xml:space="preserve">uildings will now be divided into structural components (such as walls, roof, windows, doors, foundation, etc.) and systems (heating, plumbing, electrical, alarm, elevators, etc.).  </w:t>
      </w:r>
    </w:p>
    <w:p w:rsidR="00321C2A" w:rsidRDefault="00321C2A" w:rsidP="00321C2A">
      <w:pPr>
        <w:pStyle w:val="ListParagraph"/>
        <w:numPr>
          <w:ilvl w:val="1"/>
          <w:numId w:val="2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You must capitalize any improvements to a component or a system if it is </w:t>
      </w:r>
      <w:r w:rsidR="00600DB2">
        <w:rPr>
          <w:rFonts w:ascii="Book Antiqua" w:hAnsi="Book Antiqua"/>
        </w:rPr>
        <w:t>considered to be material to</w:t>
      </w:r>
      <w:r>
        <w:rPr>
          <w:rFonts w:ascii="Book Antiqua" w:hAnsi="Book Antiqua"/>
        </w:rPr>
        <w:t xml:space="preserve"> that system.  </w:t>
      </w:r>
    </w:p>
    <w:p w:rsidR="00FF69C2" w:rsidRPr="00FF69C2" w:rsidRDefault="00183C02" w:rsidP="00FF69C2">
      <w:pPr>
        <w:pStyle w:val="ListParagraph"/>
        <w:numPr>
          <w:ilvl w:val="1"/>
          <w:numId w:val="2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This will be difficult to establish on buildings</w:t>
      </w:r>
      <w:r w:rsidR="00772927">
        <w:rPr>
          <w:rFonts w:ascii="Book Antiqua" w:hAnsi="Book Antiqua"/>
        </w:rPr>
        <w:t xml:space="preserve"> previously recorded </w:t>
      </w:r>
      <w:bookmarkStart w:id="0" w:name="_GoBack"/>
      <w:bookmarkEnd w:id="0"/>
      <w:r>
        <w:rPr>
          <w:rFonts w:ascii="Book Antiqua" w:hAnsi="Book Antiqua"/>
        </w:rPr>
        <w:t>as one ‘line item’</w:t>
      </w:r>
      <w:r w:rsidR="00772927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FF69C2" w:rsidRDefault="00FF69C2" w:rsidP="00321C2A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Materials and supplies (that are not inventory):</w:t>
      </w:r>
    </w:p>
    <w:p w:rsidR="00FF69C2" w:rsidRDefault="00FF69C2" w:rsidP="00FF69C2">
      <w:pPr>
        <w:pStyle w:val="ListParagraph"/>
        <w:numPr>
          <w:ilvl w:val="1"/>
          <w:numId w:val="2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Consisting of fuel, lubricants, water, and similar items consumed within 12 months</w:t>
      </w:r>
      <w:r w:rsidR="00772927">
        <w:rPr>
          <w:rFonts w:ascii="Book Antiqua" w:hAnsi="Book Antiqua"/>
        </w:rPr>
        <w:t>,</w:t>
      </w:r>
    </w:p>
    <w:p w:rsidR="00FF69C2" w:rsidRDefault="00FF69C2" w:rsidP="00FF69C2">
      <w:pPr>
        <w:pStyle w:val="ListParagraph"/>
        <w:numPr>
          <w:ilvl w:val="1"/>
          <w:numId w:val="2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Is a unit of property with useful life of 12 months or less</w:t>
      </w:r>
      <w:r w:rsidR="00772927">
        <w:rPr>
          <w:rFonts w:ascii="Book Antiqua" w:hAnsi="Book Antiqua"/>
        </w:rPr>
        <w:t>,</w:t>
      </w:r>
    </w:p>
    <w:p w:rsidR="00FF69C2" w:rsidRDefault="00FF69C2" w:rsidP="00FF69C2">
      <w:pPr>
        <w:pStyle w:val="ListParagraph"/>
        <w:numPr>
          <w:ilvl w:val="1"/>
          <w:numId w:val="2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Has an acquisition cost of $200 or less; or</w:t>
      </w:r>
      <w:r w:rsidR="00772927">
        <w:rPr>
          <w:rFonts w:ascii="Book Antiqua" w:hAnsi="Book Antiqua"/>
        </w:rPr>
        <w:t>,</w:t>
      </w:r>
    </w:p>
    <w:p w:rsidR="00FF69C2" w:rsidRDefault="00FF69C2" w:rsidP="00FF69C2">
      <w:pPr>
        <w:pStyle w:val="ListParagraph"/>
        <w:numPr>
          <w:ilvl w:val="1"/>
          <w:numId w:val="25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Costs are deductible when used or consumed in the taxpayer’s operations.  However amounts paid for incidental mate</w:t>
      </w:r>
      <w:r w:rsidR="00600DB2">
        <w:rPr>
          <w:rFonts w:ascii="Book Antiqua" w:hAnsi="Book Antiqua"/>
        </w:rPr>
        <w:t>rials and supplies (where no con</w:t>
      </w:r>
      <w:r>
        <w:rPr>
          <w:rFonts w:ascii="Book Antiqua" w:hAnsi="Book Antiqua"/>
        </w:rPr>
        <w:t>sumption records are kept) are deductible in the year paid.</w:t>
      </w:r>
    </w:p>
    <w:p w:rsidR="00321C2A" w:rsidRDefault="00600DB2" w:rsidP="00321C2A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Under the new regulations, a taxpayer generally must capitalize the related amount paid to improve a unit of property owned by the taxpayer.  A unit is improved </w:t>
      </w:r>
      <w:r w:rsidR="00772927">
        <w:rPr>
          <w:rFonts w:ascii="Book Antiqua" w:hAnsi="Book Antiqua"/>
        </w:rPr>
        <w:t xml:space="preserve">when </w:t>
      </w:r>
      <w:r>
        <w:rPr>
          <w:rFonts w:ascii="Book Antiqua" w:hAnsi="Book Antiqua"/>
        </w:rPr>
        <w:t>there is a betterment, the unit is adapted for a new or different use, or the unit is restored</w:t>
      </w:r>
      <w:r w:rsidR="00772927">
        <w:rPr>
          <w:rFonts w:ascii="Book Antiqua" w:hAnsi="Book Antiqua"/>
        </w:rPr>
        <w:t xml:space="preserve"> (BAR)</w:t>
      </w:r>
      <w:r>
        <w:rPr>
          <w:rFonts w:ascii="Book Antiqua" w:hAnsi="Book Antiqua"/>
        </w:rPr>
        <w:t>.</w:t>
      </w:r>
    </w:p>
    <w:p w:rsidR="00772927" w:rsidRPr="00F07921" w:rsidRDefault="00772927" w:rsidP="00321C2A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Safe harbor for small taxpayers – repairs, maintenance and improvements that are the lesser of 2% of the unadjusted basis of the building or $10,000 (for a building with a basis of </w:t>
      </w:r>
      <w:r w:rsidR="001F0843">
        <w:rPr>
          <w:rFonts w:ascii="Book Antiqua" w:hAnsi="Book Antiqua"/>
        </w:rPr>
        <w:t>$1,000,000 or less) can expense</w:t>
      </w:r>
      <w:r>
        <w:rPr>
          <w:rFonts w:ascii="Book Antiqua" w:hAnsi="Book Antiqua"/>
        </w:rPr>
        <w:t xml:space="preserve"> the costs.</w:t>
      </w:r>
    </w:p>
    <w:sectPr w:rsidR="00772927" w:rsidRPr="00F07921" w:rsidSect="00574937">
      <w:pgSz w:w="12240" w:h="15840"/>
      <w:pgMar w:top="1440" w:right="1152" w:bottom="720" w:left="1152" w:header="720" w:footer="720" w:gutter="0"/>
      <w:pgBorders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>
        <v:imagedata r:id="rId1" o:title="MC900441394[2]"/>
      </v:shape>
    </w:pict>
  </w:numPicBullet>
  <w:numPicBullet w:numPicBulletId="1">
    <w:pict>
      <v:shape id="_x0000_i1052" type="#_x0000_t75" style="width:135pt;height:135pt" o:bullet="t">
        <v:imagedata r:id="rId2" o:title="MC900433917[1]"/>
      </v:shape>
    </w:pict>
  </w:numPicBullet>
  <w:abstractNum w:abstractNumId="0">
    <w:nsid w:val="0FD471F9"/>
    <w:multiLevelType w:val="hybridMultilevel"/>
    <w:tmpl w:val="389E82A0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1CF3"/>
    <w:multiLevelType w:val="hybridMultilevel"/>
    <w:tmpl w:val="88BABADA"/>
    <w:lvl w:ilvl="0" w:tplc="0409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25AB"/>
    <w:multiLevelType w:val="hybridMultilevel"/>
    <w:tmpl w:val="87100A90"/>
    <w:lvl w:ilvl="0" w:tplc="AED488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3E3C"/>
    <w:multiLevelType w:val="hybridMultilevel"/>
    <w:tmpl w:val="A704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D2E"/>
    <w:multiLevelType w:val="hybridMultilevel"/>
    <w:tmpl w:val="9BB62806"/>
    <w:lvl w:ilvl="0" w:tplc="AED488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50A4"/>
    <w:multiLevelType w:val="hybridMultilevel"/>
    <w:tmpl w:val="BC6CF796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E689E"/>
    <w:multiLevelType w:val="hybridMultilevel"/>
    <w:tmpl w:val="28F8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2CEA"/>
    <w:multiLevelType w:val="hybridMultilevel"/>
    <w:tmpl w:val="776A86B6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94E3E"/>
    <w:multiLevelType w:val="hybridMultilevel"/>
    <w:tmpl w:val="E2CC2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5B1089"/>
    <w:multiLevelType w:val="hybridMultilevel"/>
    <w:tmpl w:val="1EDADA7E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A76"/>
    <w:multiLevelType w:val="hybridMultilevel"/>
    <w:tmpl w:val="1F601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F6AFD"/>
    <w:multiLevelType w:val="hybridMultilevel"/>
    <w:tmpl w:val="CEB45804"/>
    <w:lvl w:ilvl="0" w:tplc="04090001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793995"/>
    <w:multiLevelType w:val="hybridMultilevel"/>
    <w:tmpl w:val="04F4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20B03"/>
    <w:multiLevelType w:val="hybridMultilevel"/>
    <w:tmpl w:val="45426030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15E2D"/>
    <w:multiLevelType w:val="hybridMultilevel"/>
    <w:tmpl w:val="724C484A"/>
    <w:lvl w:ilvl="0" w:tplc="AED4887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AE3B48"/>
    <w:multiLevelType w:val="hybridMultilevel"/>
    <w:tmpl w:val="111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4887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62A18"/>
    <w:multiLevelType w:val="hybridMultilevel"/>
    <w:tmpl w:val="05CE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5C6996"/>
    <w:multiLevelType w:val="hybridMultilevel"/>
    <w:tmpl w:val="CBFC0A6E"/>
    <w:lvl w:ilvl="0" w:tplc="AED488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E7296"/>
    <w:multiLevelType w:val="hybridMultilevel"/>
    <w:tmpl w:val="8BF488D0"/>
    <w:lvl w:ilvl="0" w:tplc="04090001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A4BE9"/>
    <w:multiLevelType w:val="hybridMultilevel"/>
    <w:tmpl w:val="6E308040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4804"/>
    <w:multiLevelType w:val="hybridMultilevel"/>
    <w:tmpl w:val="0A000A26"/>
    <w:lvl w:ilvl="0" w:tplc="AED488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60CA3"/>
    <w:multiLevelType w:val="hybridMultilevel"/>
    <w:tmpl w:val="E2AE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E0061"/>
    <w:multiLevelType w:val="hybridMultilevel"/>
    <w:tmpl w:val="5218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C7E9E"/>
    <w:multiLevelType w:val="hybridMultilevel"/>
    <w:tmpl w:val="6BD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61143"/>
    <w:multiLevelType w:val="hybridMultilevel"/>
    <w:tmpl w:val="E0E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03771"/>
    <w:multiLevelType w:val="hybridMultilevel"/>
    <w:tmpl w:val="53242796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19"/>
  </w:num>
  <w:num w:numId="5">
    <w:abstractNumId w:val="21"/>
  </w:num>
  <w:num w:numId="6">
    <w:abstractNumId w:val="3"/>
  </w:num>
  <w:num w:numId="7">
    <w:abstractNumId w:val="25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5"/>
  </w:num>
  <w:num w:numId="14">
    <w:abstractNumId w:val="22"/>
  </w:num>
  <w:num w:numId="15">
    <w:abstractNumId w:val="6"/>
  </w:num>
  <w:num w:numId="16">
    <w:abstractNumId w:val="8"/>
  </w:num>
  <w:num w:numId="17">
    <w:abstractNumId w:val="16"/>
  </w:num>
  <w:num w:numId="18">
    <w:abstractNumId w:val="14"/>
  </w:num>
  <w:num w:numId="19">
    <w:abstractNumId w:val="18"/>
  </w:num>
  <w:num w:numId="20">
    <w:abstractNumId w:val="11"/>
  </w:num>
  <w:num w:numId="21">
    <w:abstractNumId w:val="1"/>
  </w:num>
  <w:num w:numId="22">
    <w:abstractNumId w:val="17"/>
  </w:num>
  <w:num w:numId="23">
    <w:abstractNumId w:val="2"/>
  </w:num>
  <w:num w:numId="24">
    <w:abstractNumId w:val="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D6"/>
    <w:rsid w:val="00041C91"/>
    <w:rsid w:val="00084CED"/>
    <w:rsid w:val="00162332"/>
    <w:rsid w:val="00183C02"/>
    <w:rsid w:val="001C2AB5"/>
    <w:rsid w:val="001F0843"/>
    <w:rsid w:val="00321C2A"/>
    <w:rsid w:val="003438EE"/>
    <w:rsid w:val="0037671B"/>
    <w:rsid w:val="0039117D"/>
    <w:rsid w:val="003F79F5"/>
    <w:rsid w:val="004732F4"/>
    <w:rsid w:val="00477423"/>
    <w:rsid w:val="00477A28"/>
    <w:rsid w:val="004877DC"/>
    <w:rsid w:val="005122F9"/>
    <w:rsid w:val="00537A80"/>
    <w:rsid w:val="00540023"/>
    <w:rsid w:val="00574937"/>
    <w:rsid w:val="00600DB2"/>
    <w:rsid w:val="00621C4D"/>
    <w:rsid w:val="00623FCD"/>
    <w:rsid w:val="00772927"/>
    <w:rsid w:val="00810946"/>
    <w:rsid w:val="008300D8"/>
    <w:rsid w:val="0084212D"/>
    <w:rsid w:val="009F02C6"/>
    <w:rsid w:val="00A22AE1"/>
    <w:rsid w:val="00AA08FD"/>
    <w:rsid w:val="00BE237F"/>
    <w:rsid w:val="00C352DB"/>
    <w:rsid w:val="00CA02D3"/>
    <w:rsid w:val="00D8645F"/>
    <w:rsid w:val="00E61ECF"/>
    <w:rsid w:val="00EB13D6"/>
    <w:rsid w:val="00EF4AAD"/>
    <w:rsid w:val="00F07921"/>
    <w:rsid w:val="00F52118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D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60F8-61D2-4741-8F83-2DBB51A5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Wilson</dc:creator>
  <cp:lastModifiedBy>Sandy Wilson</cp:lastModifiedBy>
  <cp:revision>9</cp:revision>
  <cp:lastPrinted>2015-01-22T23:45:00Z</cp:lastPrinted>
  <dcterms:created xsi:type="dcterms:W3CDTF">2015-01-19T22:52:00Z</dcterms:created>
  <dcterms:modified xsi:type="dcterms:W3CDTF">2015-01-23T00:11:00Z</dcterms:modified>
</cp:coreProperties>
</file>